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Student Rights and Responsibilities</w:t>
      </w:r>
    </w:p>
    <w:tbl>
      <w:tblPr>
        <w:tblStyle w:val="Table1"/>
        <w:tblW w:w="14700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gridCol w:w="6150"/>
        <w:tblGridChange w:id="0">
          <w:tblGrid>
            <w:gridCol w:w="8550"/>
            <w:gridCol w:w="615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rtl w:val="0"/>
              </w:rPr>
              <w:t xml:space="preserve">Rights and Responsibilities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rtl w:val="0"/>
              </w:rPr>
              <w:t xml:space="preserve"> Natural Consequence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will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not bring phones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to lessons unless requested by a PE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first, followed by confiscation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be prompt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in their attendance to class.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for first occasion, notify advisor and parent/guardian for second occasion, PE detention for every occasion thereafter.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lock belongings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within a locker.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will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behave in a respectful manner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while in the locker room.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come prepared to class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with the correct uniform.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for first time, contact home for second time, PE detention on third occasion.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remove jewelry and tie long hair 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followed by PE detention.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transition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from locker room to class site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 in a respectful and orderly manner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, showing consideration for others in shared space. E.g. stairwells and walkways.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actively listen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to all instruction and communicate respectfully and responsibly with teacher and peers.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Re-direction,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61" w:lineRule="auto"/>
              <w:ind w:right="120"/>
              <w:contextualSpacing w:val="0"/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should be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part of setup and clear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61" w:lineRule="auto"/>
              <w:ind w:right="120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should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show respect and sensitivity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to themselves, others and the environment.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Re-direction,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61.99999999999994" w:lineRule="auto"/>
              <w:ind w:right="120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should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stay on task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 without the need for constant teacher supervision.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Re-direction, followed by either: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PE detention;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Referral to Director of PE and advisor;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Contact with parent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Students must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34"/>
                <w:szCs w:val="34"/>
                <w:u w:val="single"/>
                <w:rtl w:val="0"/>
              </w:rPr>
              <w:t xml:space="preserve">not chew gum</w:t>
            </w: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Verbal warning followed by PE detention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If a pattern of negative behavior is occurring, an alternative sequence of action may take place. </w:t>
      </w:r>
    </w:p>
    <w:sectPr>
      <w:pgSz w:h="24480" w:w="15840"/>
      <w:pgMar w:bottom="36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